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63" w:rsidRDefault="006D2263"/>
    <w:p w:rsidR="005135B7" w:rsidRDefault="005135B7">
      <w:pPr>
        <w:rPr>
          <w:b/>
          <w:u w:val="single"/>
        </w:rPr>
      </w:pPr>
      <w:r>
        <w:rPr>
          <w:b/>
          <w:u w:val="single"/>
        </w:rPr>
        <w:t>NUS General Laboratory Safety Manual</w:t>
      </w:r>
    </w:p>
    <w:p w:rsidR="005135B7" w:rsidRDefault="005135B7">
      <w:r>
        <w:tab/>
        <w:t>Cambridge CARES follows the NUS General Laboratory Safety Manual.  The differences are listed below.</w:t>
      </w:r>
    </w:p>
    <w:p w:rsidR="005135B7" w:rsidRDefault="005135B7"/>
    <w:p w:rsidR="005135B7" w:rsidRDefault="005135B7">
      <w:pPr>
        <w:rPr>
          <w:b/>
          <w:u w:val="single"/>
        </w:rPr>
      </w:pPr>
      <w:r>
        <w:rPr>
          <w:b/>
          <w:u w:val="single"/>
        </w:rPr>
        <w:t>Differences between Cambridge CARES practices and the NUS General Laboratory Safety Manual</w:t>
      </w:r>
    </w:p>
    <w:p w:rsidR="005135B7" w:rsidRDefault="005135B7"/>
    <w:p w:rsidR="005135B7" w:rsidRDefault="005135B7">
      <w:r>
        <w:tab/>
      </w:r>
      <w:r>
        <w:rPr>
          <w:b/>
        </w:rPr>
        <w:t>General</w:t>
      </w:r>
      <w:r>
        <w:t>:  As CARES is a large organization, involving multiple collaborating PIs, in the NUS General Laboratory Safety Manual, for PI, please read “Respective PIs, Program Director and Lab Manager”.</w:t>
      </w:r>
    </w:p>
    <w:p w:rsidR="00C2535B" w:rsidRPr="00AA2F04" w:rsidRDefault="00C2535B">
      <w:r>
        <w:tab/>
        <w:t xml:space="preserve">p. 2, </w:t>
      </w:r>
      <w:r w:rsidR="00AA2F04">
        <w:rPr>
          <w:b/>
        </w:rPr>
        <w:t>1.2.1 Emergency Phone numbers</w:t>
      </w:r>
      <w:r w:rsidR="00AA2F04">
        <w:t xml:space="preserve">.  We require our workers to know and keep recorded in their phones, the numbers for the Fire Command Centre, the Building Management Office, the Singapore Police Force, the Singapore Civil </w:t>
      </w:r>
      <w:proofErr w:type="spellStart"/>
      <w:r w:rsidR="00AA2F04">
        <w:t>Defence</w:t>
      </w:r>
      <w:proofErr w:type="spellEnd"/>
      <w:r w:rsidR="00AA2F04">
        <w:t xml:space="preserve"> Force. </w:t>
      </w:r>
    </w:p>
    <w:p w:rsidR="005135B7" w:rsidRDefault="005135B7" w:rsidP="005135B7">
      <w:r>
        <w:tab/>
        <w:t xml:space="preserve">p. 12, </w:t>
      </w:r>
      <w:r>
        <w:rPr>
          <w:b/>
        </w:rPr>
        <w:t>4. Risk Management</w:t>
      </w:r>
      <w:r>
        <w:t>:  In contrast to NUS, CARES requires individual researchers to complete Risk Assessments of all their activities.  These Risk Assessments are then reviewed and approved by the respective PIs and the Lab Manager.</w:t>
      </w:r>
    </w:p>
    <w:p w:rsidR="00C46BD0" w:rsidRDefault="00C46BD0" w:rsidP="005135B7">
      <w:r>
        <w:tab/>
        <w:t xml:space="preserve">p. 13, </w:t>
      </w:r>
      <w:r>
        <w:rPr>
          <w:b/>
        </w:rPr>
        <w:t xml:space="preserve">5. Training: </w:t>
      </w:r>
      <w:r>
        <w:t>As CARES is a collaborative enterprise between three universities – the National University of Singapore, Nanyang Technological University, and the University of Cambridge – we require our staff and students to undergo safety training at their respective institutes and to provide proof of such training to us.</w:t>
      </w:r>
    </w:p>
    <w:p w:rsidR="00290CAD" w:rsidRPr="00290CAD" w:rsidRDefault="00290CAD" w:rsidP="005135B7">
      <w:r>
        <w:tab/>
        <w:t xml:space="preserve">p. 18, </w:t>
      </w:r>
      <w:r>
        <w:rPr>
          <w:b/>
        </w:rPr>
        <w:t>7.1 Laboratory Commissioning</w:t>
      </w:r>
      <w:r>
        <w:t>: the Program Director approves the laboratory</w:t>
      </w:r>
      <w:r w:rsidR="000E23E2">
        <w:t xml:space="preserve"> </w:t>
      </w:r>
      <w:r>
        <w:t xml:space="preserve"> for use in CARES</w:t>
      </w:r>
    </w:p>
    <w:p w:rsidR="00C46BD0" w:rsidRDefault="00C46BD0" w:rsidP="005135B7">
      <w:r>
        <w:tab/>
        <w:t xml:space="preserve">p. 18, </w:t>
      </w:r>
      <w:r>
        <w:rPr>
          <w:b/>
        </w:rPr>
        <w:t>7.2.1 Safety and Health Induction Checklist</w:t>
      </w:r>
      <w:r>
        <w:t xml:space="preserve">:  We use our own induction checklist, as documented. </w:t>
      </w:r>
    </w:p>
    <w:p w:rsidR="00AE7976" w:rsidRDefault="00AE7976" w:rsidP="005135B7">
      <w:r>
        <w:tab/>
        <w:t xml:space="preserve">p. 20, </w:t>
      </w:r>
      <w:r>
        <w:rPr>
          <w:b/>
        </w:rPr>
        <w:t>7.5 Contractors Management</w:t>
      </w:r>
      <w:r>
        <w:t xml:space="preserve">.  Contractors complete the PTW requirements of CREATE.    </w:t>
      </w:r>
    </w:p>
    <w:p w:rsidR="00AA2F04" w:rsidRPr="00AA2F04" w:rsidRDefault="00AA2F04" w:rsidP="005135B7">
      <w:r>
        <w:tab/>
        <w:t xml:space="preserve">p. 37, </w:t>
      </w:r>
      <w:r>
        <w:rPr>
          <w:b/>
        </w:rPr>
        <w:t>12. Accident / Incident Reporting and Investigation</w:t>
      </w:r>
      <w:r>
        <w:t xml:space="preserve">.  </w:t>
      </w:r>
      <w:bookmarkStart w:id="0" w:name="_GoBack"/>
      <w:r>
        <w:t>We conduct our own internal investigation and reporting as documented in the CARES Procedures on Communications.</w:t>
      </w:r>
      <w:bookmarkEnd w:id="0"/>
    </w:p>
    <w:p w:rsidR="00A36908" w:rsidRDefault="00A36908" w:rsidP="005135B7">
      <w:r>
        <w:tab/>
        <w:t xml:space="preserve">p. 39, </w:t>
      </w:r>
      <w:r>
        <w:rPr>
          <w:b/>
        </w:rPr>
        <w:t>Appendix A: Lab Commissioning Notification &amp; Verification Form</w:t>
      </w:r>
      <w:r>
        <w:t>.  Unnecessary, as our laboratory had been previously commissioned and certified by our contractors after construction of the laboratory.</w:t>
      </w:r>
    </w:p>
    <w:p w:rsidR="00A36908" w:rsidRDefault="00A36908" w:rsidP="00A36908">
      <w:r>
        <w:tab/>
        <w:t xml:space="preserve">p. 39, </w:t>
      </w:r>
      <w:r>
        <w:rPr>
          <w:b/>
        </w:rPr>
        <w:t>Safety and Health Induction Checklist for New Laboratory Users</w:t>
      </w:r>
      <w:r>
        <w:t xml:space="preserve">.   </w:t>
      </w:r>
      <w:r>
        <w:t xml:space="preserve">We use our own induction checklist, as documented. </w:t>
      </w:r>
    </w:p>
    <w:p w:rsidR="00A36908" w:rsidRDefault="00A36908" w:rsidP="005135B7">
      <w:r>
        <w:tab/>
        <w:t xml:space="preserve">p. 45, </w:t>
      </w:r>
      <w:r>
        <w:rPr>
          <w:b/>
        </w:rPr>
        <w:t>Facility Access Exclusion of Liability &amp; Indemnity</w:t>
      </w:r>
      <w:r>
        <w:t>.  We do not make use of this</w:t>
      </w:r>
      <w:r w:rsidR="00BB52FA">
        <w:t>.</w:t>
      </w:r>
    </w:p>
    <w:p w:rsidR="00A36908" w:rsidRDefault="00A36908" w:rsidP="005135B7">
      <w:r>
        <w:lastRenderedPageBreak/>
        <w:tab/>
        <w:t xml:space="preserve">p. 46 </w:t>
      </w:r>
      <w:r>
        <w:rPr>
          <w:b/>
        </w:rPr>
        <w:t>NUS Self-Help Safety + Health Starters’ Checklist</w:t>
      </w:r>
      <w:r w:rsidR="00BB52FA">
        <w:rPr>
          <w:b/>
        </w:rPr>
        <w:t>.</w:t>
      </w:r>
      <w:r>
        <w:t xml:space="preserve">  </w:t>
      </w:r>
      <w:r w:rsidR="00BB52FA">
        <w:t>We do not make use.</w:t>
      </w:r>
    </w:p>
    <w:p w:rsidR="00BB52FA" w:rsidRDefault="00BB52FA" w:rsidP="005135B7">
      <w:r>
        <w:tab/>
        <w:t xml:space="preserve">p. 47 </w:t>
      </w:r>
      <w:r w:rsidRPr="00BB52FA">
        <w:rPr>
          <w:b/>
        </w:rPr>
        <w:t>Lab Notice</w:t>
      </w:r>
      <w:r>
        <w:t>.  We use our own signs</w:t>
      </w:r>
    </w:p>
    <w:p w:rsidR="00BB52FA" w:rsidRDefault="00BB52FA" w:rsidP="005135B7">
      <w:r>
        <w:tab/>
        <w:t xml:space="preserve">p. 48  </w:t>
      </w:r>
      <w:r>
        <w:rPr>
          <w:b/>
        </w:rPr>
        <w:t>Contractor Risk Management Checklist – for Laboratories</w:t>
      </w:r>
      <w:r>
        <w:t>.  We use the CREATE PTW forms.</w:t>
      </w:r>
    </w:p>
    <w:p w:rsidR="00BB52FA" w:rsidRDefault="00BB52FA" w:rsidP="005135B7">
      <w:r>
        <w:tab/>
        <w:t xml:space="preserve">p. 50 </w:t>
      </w:r>
      <w:r w:rsidRPr="00BB52FA">
        <w:rPr>
          <w:b/>
        </w:rPr>
        <w:t xml:space="preserve">Safety &amp; Health Rules for Cleaners Working in NUS (do’s and don’ts) – for laboratories. </w:t>
      </w:r>
      <w:r>
        <w:t xml:space="preserve"> The CREATE staff handling their own safety training.</w:t>
      </w:r>
    </w:p>
    <w:p w:rsidR="00BB52FA" w:rsidRDefault="00BB52FA" w:rsidP="005135B7">
      <w:r>
        <w:tab/>
        <w:t xml:space="preserve">p. 52  </w:t>
      </w:r>
      <w:r>
        <w:rPr>
          <w:b/>
        </w:rPr>
        <w:t>Laboratory Decommissioning Notification &amp; Verification Form</w:t>
      </w:r>
      <w:r>
        <w:t>.  We do not make use of this.</w:t>
      </w:r>
    </w:p>
    <w:p w:rsidR="00BB52FA" w:rsidRDefault="00BB52FA" w:rsidP="005135B7">
      <w:r>
        <w:tab/>
        <w:t xml:space="preserve">p. 55  </w:t>
      </w:r>
      <w:r>
        <w:rPr>
          <w:b/>
        </w:rPr>
        <w:t>NUS Equipment Decontamination / Disposal Record Sticker.</w:t>
      </w:r>
      <w:r>
        <w:t xml:space="preserve">  Our equipment is new, and we do not need to make use of this form.</w:t>
      </w:r>
    </w:p>
    <w:p w:rsidR="00A93917" w:rsidRPr="00901E88" w:rsidRDefault="00A93917" w:rsidP="005135B7">
      <w:pPr>
        <w:rPr>
          <w:b/>
        </w:rPr>
      </w:pPr>
      <w:r>
        <w:tab/>
        <w:t xml:space="preserve">p. </w:t>
      </w:r>
      <w:r w:rsidR="00901E88">
        <w:t xml:space="preserve">109, </w:t>
      </w:r>
      <w:r w:rsidR="00901E88">
        <w:rPr>
          <w:b/>
        </w:rPr>
        <w:t>Appendix C: Hazardous Waste Disposal Bag/Label</w:t>
      </w:r>
    </w:p>
    <w:sectPr w:rsidR="00A93917" w:rsidRPr="00901E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6D" w:rsidRDefault="006A736D" w:rsidP="005135B7">
      <w:pPr>
        <w:spacing w:after="0" w:line="240" w:lineRule="auto"/>
      </w:pPr>
      <w:r>
        <w:separator/>
      </w:r>
    </w:p>
  </w:endnote>
  <w:endnote w:type="continuationSeparator" w:id="0">
    <w:p w:rsidR="006A736D" w:rsidRDefault="006A736D" w:rsidP="0051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FC" w:rsidRDefault="00B5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FC" w:rsidRDefault="00B50AFC">
    <w:pPr>
      <w:pStyle w:val="Footer"/>
    </w:pPr>
    <w:r>
      <w:t>v1.0</w:t>
    </w:r>
    <w:r>
      <w:tab/>
      <w:t xml:space="preserve">11 – Jan – 2017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FC" w:rsidRDefault="00B5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6D" w:rsidRDefault="006A736D" w:rsidP="005135B7">
      <w:pPr>
        <w:spacing w:after="0" w:line="240" w:lineRule="auto"/>
      </w:pPr>
      <w:r>
        <w:separator/>
      </w:r>
    </w:p>
  </w:footnote>
  <w:footnote w:type="continuationSeparator" w:id="0">
    <w:p w:rsidR="006A736D" w:rsidRDefault="006A736D" w:rsidP="0051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FC" w:rsidRDefault="00B5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B7" w:rsidRPr="005135B7" w:rsidRDefault="005135B7" w:rsidP="005135B7">
    <w:pPr>
      <w:pStyle w:val="Header"/>
    </w:pPr>
    <w:r>
      <w:rPr>
        <w:noProof/>
      </w:rPr>
      <w:drawing>
        <wp:inline distT="0" distB="0" distL="0" distR="0" wp14:anchorId="7A90EF4A" wp14:editId="2538DA81">
          <wp:extent cx="4029075" cy="914400"/>
          <wp:effectExtent l="0" t="0" r="9525" b="0"/>
          <wp:docPr id="2"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FC" w:rsidRDefault="00B5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22121"/>
    <w:multiLevelType w:val="hybridMultilevel"/>
    <w:tmpl w:val="2FAC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B7"/>
    <w:rsid w:val="000E23E2"/>
    <w:rsid w:val="00290CAD"/>
    <w:rsid w:val="002F1F89"/>
    <w:rsid w:val="003C071E"/>
    <w:rsid w:val="00480BC4"/>
    <w:rsid w:val="005135B7"/>
    <w:rsid w:val="006A736D"/>
    <w:rsid w:val="006D2263"/>
    <w:rsid w:val="00731981"/>
    <w:rsid w:val="00775F19"/>
    <w:rsid w:val="007D1D20"/>
    <w:rsid w:val="007D707C"/>
    <w:rsid w:val="00901E88"/>
    <w:rsid w:val="009D0AB4"/>
    <w:rsid w:val="00A36908"/>
    <w:rsid w:val="00A93917"/>
    <w:rsid w:val="00AA2F04"/>
    <w:rsid w:val="00AE7976"/>
    <w:rsid w:val="00B44E10"/>
    <w:rsid w:val="00B50AFC"/>
    <w:rsid w:val="00BB52FA"/>
    <w:rsid w:val="00C2535B"/>
    <w:rsid w:val="00C4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8599"/>
  <w15:chartTrackingRefBased/>
  <w15:docId w15:val="{476C8D96-1E2E-4F5A-BB13-16D93D7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B7"/>
  </w:style>
  <w:style w:type="paragraph" w:styleId="Footer">
    <w:name w:val="footer"/>
    <w:basedOn w:val="Normal"/>
    <w:link w:val="FooterChar"/>
    <w:uiPriority w:val="99"/>
    <w:unhideWhenUsed/>
    <w:rsid w:val="0051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B7"/>
  </w:style>
  <w:style w:type="paragraph" w:styleId="ListParagraph">
    <w:name w:val="List Paragraph"/>
    <w:basedOn w:val="Normal"/>
    <w:uiPriority w:val="34"/>
    <w:qFormat/>
    <w:rsid w:val="005135B7"/>
    <w:pPr>
      <w:ind w:left="720"/>
      <w:contextualSpacing/>
    </w:pPr>
  </w:style>
  <w:style w:type="paragraph" w:styleId="BalloonText">
    <w:name w:val="Balloon Text"/>
    <w:basedOn w:val="Normal"/>
    <w:link w:val="BalloonTextChar"/>
    <w:uiPriority w:val="99"/>
    <w:semiHidden/>
    <w:unhideWhenUsed/>
    <w:rsid w:val="00C2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4</cp:revision>
  <cp:lastPrinted>2017-02-17T08:32:00Z</cp:lastPrinted>
  <dcterms:created xsi:type="dcterms:W3CDTF">2017-02-15T03:08:00Z</dcterms:created>
  <dcterms:modified xsi:type="dcterms:W3CDTF">2017-02-17T08:32:00Z</dcterms:modified>
</cp:coreProperties>
</file>